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41960F"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w:t>
        </w:r>
        <w:r w:rsidR="00BB3C78">
          <w:rPr>
            <w:b/>
            <w:noProof/>
            <w:sz w:val="24"/>
          </w:rPr>
          <w:t>A</w:t>
        </w:r>
      </w:fldSimple>
      <w:r w:rsidR="00C66BA2">
        <w:rPr>
          <w:b/>
          <w:noProof/>
          <w:sz w:val="24"/>
        </w:rPr>
        <w:t xml:space="preserve"> </w:t>
      </w:r>
      <w:r w:rsidR="00BB3C78">
        <w:rPr>
          <w:b/>
          <w:noProof/>
          <w:sz w:val="24"/>
        </w:rPr>
        <w:t xml:space="preserve">WG2 </w:t>
      </w:r>
      <w:r>
        <w:rPr>
          <w:b/>
          <w:noProof/>
          <w:sz w:val="24"/>
        </w:rPr>
        <w:t>Meeting #</w:t>
      </w:r>
      <w:r w:rsidR="00CD7E6A">
        <w:rPr>
          <w:b/>
          <w:noProof/>
          <w:sz w:val="24"/>
        </w:rPr>
        <w:t>14</w:t>
      </w:r>
      <w:r w:rsidR="005E55BB">
        <w:rPr>
          <w:b/>
          <w:noProof/>
          <w:sz w:val="24"/>
        </w:rPr>
        <w:t>8</w:t>
      </w:r>
      <w:r w:rsidR="00CD7E6A">
        <w:rPr>
          <w:b/>
          <w:noProof/>
          <w:sz w:val="24"/>
        </w:rPr>
        <w:t>e</w:t>
      </w:r>
      <w:r>
        <w:rPr>
          <w:b/>
          <w:i/>
          <w:noProof/>
          <w:sz w:val="28"/>
        </w:rPr>
        <w:tab/>
      </w:r>
      <w:fldSimple w:instr="DOCPROPERTY  Tdoc#  \* MERGEFORMAT">
        <w:r w:rsidR="00766CB0" w:rsidRPr="00766CB0">
          <w:rPr>
            <w:b/>
            <w:i/>
            <w:noProof/>
            <w:sz w:val="28"/>
          </w:rPr>
          <w:t>S2-</w:t>
        </w:r>
        <w:r w:rsidR="003F03A8" w:rsidRPr="003F03A8">
          <w:t xml:space="preserve"> </w:t>
        </w:r>
        <w:r w:rsidR="003F03A8" w:rsidRPr="003F03A8">
          <w:rPr>
            <w:b/>
            <w:i/>
            <w:noProof/>
            <w:sz w:val="28"/>
          </w:rPr>
          <w:t>2108694</w:t>
        </w:r>
      </w:fldSimple>
    </w:p>
    <w:p w14:paraId="7CB45193" w14:textId="1CB1BD38"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5E55BB">
        <w:rPr>
          <w:b/>
          <w:noProof/>
          <w:sz w:val="24"/>
        </w:rPr>
        <w:t>November</w:t>
      </w:r>
      <w:r w:rsidR="00B83F9E">
        <w:rPr>
          <w:b/>
          <w:noProof/>
          <w:sz w:val="24"/>
        </w:rPr>
        <w:t xml:space="preserve"> 1</w:t>
      </w:r>
      <w:r w:rsidR="005E55BB">
        <w:rPr>
          <w:b/>
          <w:noProof/>
          <w:sz w:val="24"/>
        </w:rPr>
        <w:t>5</w:t>
      </w:r>
      <w:r w:rsidR="00B83F9E">
        <w:rPr>
          <w:b/>
          <w:noProof/>
          <w:sz w:val="24"/>
        </w:rPr>
        <w:t xml:space="preserve"> – 22, 2021</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2F14264B"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r>
            <w:r w:rsidR="005E55BB">
              <w:rPr>
                <w:rFonts w:ascii="Arial" w:hAnsi="Arial" w:cs="Arial"/>
                <w:b/>
              </w:rPr>
              <w:t>NTT DOCOMO</w:t>
            </w:r>
            <w:r>
              <w:rPr>
                <w:rFonts w:ascii="Arial" w:hAnsi="Arial" w:cs="Arial"/>
                <w:b/>
              </w:rPr>
              <w:t xml:space="preserve"> </w:t>
            </w:r>
          </w:p>
          <w:p w14:paraId="64F40BAC" w14:textId="06548DCB"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CF0BB3">
              <w:rPr>
                <w:rFonts w:ascii="Arial" w:hAnsi="Arial" w:cs="Arial"/>
                <w:b/>
                <w:bCs/>
              </w:rPr>
              <w:t>W</w:t>
            </w:r>
            <w:r w:rsidR="00220EB4">
              <w:rPr>
                <w:rFonts w:ascii="Arial" w:hAnsi="Arial" w:cs="Arial"/>
                <w:b/>
                <w:bCs/>
              </w:rPr>
              <w:t>ay forward</w:t>
            </w:r>
            <w:r w:rsidR="005E55BB">
              <w:rPr>
                <w:rFonts w:ascii="Arial" w:hAnsi="Arial" w:cs="Arial"/>
                <w:b/>
                <w:bCs/>
              </w:rPr>
              <w:t xml:space="preserve"> for criteria to use the EDC functionality</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043B4583"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E55BB">
              <w:rPr>
                <w:i/>
                <w:noProof/>
              </w:rPr>
              <w:t>This discussion paper proposes a way forward to address an Editor’s Note related to defining the criteria to use the EDC functionality in the UE.</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1B3C3C5F" w:rsidR="001E41F3" w:rsidRDefault="00B45359" w:rsidP="00B45359">
      <w:pPr>
        <w:pStyle w:val="Heading1"/>
      </w:pPr>
      <w:r>
        <w:t>1</w:t>
      </w:r>
      <w:r>
        <w:tab/>
        <w:t>Discussion</w:t>
      </w:r>
    </w:p>
    <w:p w14:paraId="70E4CF2B" w14:textId="53D4F792" w:rsidR="001500FE" w:rsidRDefault="001500FE" w:rsidP="001500FE">
      <w:pPr>
        <w:pStyle w:val="Heading2"/>
      </w:pPr>
      <w:r>
        <w:t>1.</w:t>
      </w:r>
      <w:r w:rsidR="00D91043">
        <w:t>1</w:t>
      </w:r>
      <w:r>
        <w:tab/>
      </w:r>
      <w:r w:rsidR="005E55BB">
        <w:t>Criteria to use the EDC functionality</w:t>
      </w:r>
    </w:p>
    <w:p w14:paraId="1DEFCCFE" w14:textId="34000B3D" w:rsidR="005E55BB" w:rsidRPr="0088585E" w:rsidRDefault="005E55BB" w:rsidP="005E55BB">
      <w:r w:rsidRPr="0088585E">
        <w:t>In SA2#147</w:t>
      </w:r>
      <w:r w:rsidR="0088585E" w:rsidRPr="0088585E">
        <w:t>E, S2-210817</w:t>
      </w:r>
      <w:r w:rsidR="0088585E">
        <w:t>7</w:t>
      </w:r>
      <w:r w:rsidR="0088585E" w:rsidRPr="0088585E">
        <w:t xml:space="preserve"> was technical</w:t>
      </w:r>
      <w:r w:rsidR="0088585E">
        <w:t xml:space="preserve">ly endorsed to resolve the contentious issue on how to ensure that the UE uses the DNS configuration provided by the MNO. In </w:t>
      </w:r>
      <w:bookmarkStart w:id="0" w:name="_Hlk86412778"/>
      <w:r w:rsidR="0088585E" w:rsidRPr="0088585E">
        <w:t>S2-210817</w:t>
      </w:r>
      <w:r w:rsidR="0088585E">
        <w:t xml:space="preserve">7 </w:t>
      </w:r>
      <w:bookmarkEnd w:id="0"/>
      <w:r w:rsidR="0088585E">
        <w:t>there is still the following EN:</w:t>
      </w:r>
    </w:p>
    <w:p w14:paraId="47C833E2" w14:textId="3346E600" w:rsidR="005E55BB" w:rsidRPr="0088585E" w:rsidRDefault="005E55BB" w:rsidP="005E55BB">
      <w:pPr>
        <w:rPr>
          <w:color w:val="FF0000"/>
        </w:rPr>
      </w:pPr>
      <w:r w:rsidRPr="0088585E">
        <w:t xml:space="preserve">               </w:t>
      </w:r>
      <w:r>
        <w:rPr>
          <w:color w:val="FF0000"/>
        </w:rPr>
        <w:t>Editor's note:     The detailed criteria for when the EDC functionality is to be used are FFS.</w:t>
      </w:r>
    </w:p>
    <w:p w14:paraId="7C1046ED" w14:textId="36247E9D" w:rsidR="00825072" w:rsidRDefault="00825072" w:rsidP="005E55BB">
      <w:r w:rsidRPr="0088585E">
        <w:t>S2-210817</w:t>
      </w:r>
      <w:r>
        <w:t>7 states that:</w:t>
      </w:r>
    </w:p>
    <w:p w14:paraId="4992EE69" w14:textId="6A167EED" w:rsidR="005E55BB" w:rsidRDefault="005E55BB" w:rsidP="005E55BB">
      <w:pPr>
        <w:rPr>
          <w:lang w:eastAsia="de-DE"/>
        </w:rPr>
      </w:pPr>
      <w:r>
        <w:t>“</w:t>
      </w:r>
      <w:bookmarkStart w:id="1" w:name="_Hlk86997567"/>
      <w:bookmarkStart w:id="2" w:name="_Hlk86412815"/>
      <w:r>
        <w:t xml:space="preserve">The Edge DNS Client (EDC) functionality is a 3GPP functionality in the UE that </w:t>
      </w:r>
      <w:r>
        <w:rPr>
          <w:u w:val="single"/>
        </w:rPr>
        <w:t>ensures that DNS requests</w:t>
      </w:r>
      <w:r>
        <w:t xml:space="preserve"> from applications </w:t>
      </w:r>
      <w:r>
        <w:rPr>
          <w:u w:val="single"/>
        </w:rPr>
        <w:t>are sent to the DNS Server's</w:t>
      </w:r>
      <w:r>
        <w:t xml:space="preserve"> (e.g., EASDF/DNS resolver) IP address received from the SMF in the </w:t>
      </w:r>
      <w:proofErr w:type="spellStart"/>
      <w:r>
        <w:t>ePCO</w:t>
      </w:r>
      <w:bookmarkEnd w:id="1"/>
      <w:proofErr w:type="spellEnd"/>
      <w:r>
        <w:t>”.</w:t>
      </w:r>
    </w:p>
    <w:p w14:paraId="584BD2F1" w14:textId="6672D53D" w:rsidR="00C6216A" w:rsidRDefault="00825072" w:rsidP="005E55BB">
      <w:r>
        <w:t>Moreover, i</w:t>
      </w:r>
      <w:r w:rsidR="005E55BB">
        <w:t>f the EDC functionality is used, application requirements</w:t>
      </w:r>
      <w:r w:rsidR="00A0654D">
        <w:t xml:space="preserve"> to use different DNS settings</w:t>
      </w:r>
      <w:r w:rsidR="005E55BB">
        <w:t xml:space="preserve"> may be taken into consideration</w:t>
      </w:r>
      <w:r w:rsidR="00C6216A">
        <w:t xml:space="preserve"> by the </w:t>
      </w:r>
      <w:r w:rsidR="00A0654D">
        <w:t>EDC</w:t>
      </w:r>
      <w:r w:rsidR="005E55BB">
        <w:t>, based on the statement</w:t>
      </w:r>
    </w:p>
    <w:p w14:paraId="005B9007" w14:textId="04EA6B26" w:rsidR="005E55BB" w:rsidRDefault="005E55BB" w:rsidP="005E55BB">
      <w:r>
        <w:t>“unless the application explicitly requires the UE not to use the operator's DNS Server</w:t>
      </w:r>
      <w:bookmarkEnd w:id="2"/>
      <w:r>
        <w:t>”.</w:t>
      </w:r>
    </w:p>
    <w:p w14:paraId="1187910B" w14:textId="20669DDE" w:rsidR="00852F55" w:rsidRDefault="0082518D" w:rsidP="005E55BB">
      <w:r>
        <w:t xml:space="preserve">Therefore, </w:t>
      </w:r>
      <w:r w:rsidR="00852F55">
        <w:t>the EDC functionality is not used if explicitly required by the application.</w:t>
      </w:r>
    </w:p>
    <w:p w14:paraId="4336FED2" w14:textId="77777777" w:rsidR="00852F55" w:rsidRDefault="00852F55" w:rsidP="005E55BB">
      <w:r>
        <w:t xml:space="preserve">The statement </w:t>
      </w:r>
    </w:p>
    <w:p w14:paraId="54AAFF42" w14:textId="5FA90B69" w:rsidR="00852F55" w:rsidRDefault="00852F55" w:rsidP="005E55BB">
      <w:r>
        <w:t xml:space="preserve">“The Edge DNS Client (EDC) functionality […] </w:t>
      </w:r>
      <w:r>
        <w:rPr>
          <w:u w:val="single"/>
        </w:rPr>
        <w:t>ensures that DNS requests</w:t>
      </w:r>
      <w:r>
        <w:t xml:space="preserve"> from applications </w:t>
      </w:r>
      <w:r>
        <w:rPr>
          <w:u w:val="single"/>
        </w:rPr>
        <w:t>are sent to the DNS Server's</w:t>
      </w:r>
      <w:r>
        <w:t xml:space="preserve"> (e.g., EASDF/DNS resolver) IP address received from the SMF in the </w:t>
      </w:r>
      <w:proofErr w:type="spellStart"/>
      <w:r>
        <w:t>ePCO</w:t>
      </w:r>
      <w:proofErr w:type="spellEnd"/>
      <w:r>
        <w:t>”</w:t>
      </w:r>
    </w:p>
    <w:p w14:paraId="301D4E79" w14:textId="68F9EC6B" w:rsidR="00A0654D" w:rsidRDefault="00852F55" w:rsidP="005E55BB">
      <w:r>
        <w:t>should be interpreted as: the EDC ensures that the MNO’s DNS address is used even if the user configures manually a different DNS address (</w:t>
      </w:r>
      <w:r w:rsidRPr="00852F55">
        <w:t>e.g., private DNS configuration)</w:t>
      </w:r>
      <w:r w:rsidR="0082518D">
        <w:t>.</w:t>
      </w:r>
    </w:p>
    <w:p w14:paraId="53B1133D" w14:textId="3121D2E3" w:rsidR="005E55BB" w:rsidRPr="003D1140" w:rsidRDefault="00C6216A" w:rsidP="003D1140">
      <w:pPr>
        <w:ind w:left="48"/>
        <w:rPr>
          <w:b/>
          <w:bCs/>
        </w:rPr>
      </w:pPr>
      <w:r w:rsidRPr="003D1140">
        <w:rPr>
          <w:b/>
          <w:bCs/>
        </w:rPr>
        <w:t xml:space="preserve">Observation 1: user preferences (e.g., private DNS configuration) are not </w:t>
      </w:r>
      <w:r w:rsidR="003D1140" w:rsidRPr="003D1140">
        <w:rPr>
          <w:b/>
          <w:bCs/>
        </w:rPr>
        <w:t>considered</w:t>
      </w:r>
      <w:r w:rsidRPr="003D1140">
        <w:rPr>
          <w:b/>
          <w:bCs/>
        </w:rPr>
        <w:t xml:space="preserve"> by the EDC functionality. </w:t>
      </w:r>
    </w:p>
    <w:p w14:paraId="54C6C726" w14:textId="77777777" w:rsidR="00DE12CF" w:rsidRDefault="00DE12CF" w:rsidP="005E55BB">
      <w:proofErr w:type="spellStart"/>
      <w:r>
        <w:t>Cosnidering</w:t>
      </w:r>
      <w:proofErr w:type="spellEnd"/>
      <w:r>
        <w:t xml:space="preserve"> the</w:t>
      </w:r>
    </w:p>
    <w:p w14:paraId="3972AEAB" w14:textId="690759A7" w:rsidR="003D1140" w:rsidRDefault="003D1140" w:rsidP="005E55BB">
      <w:r>
        <w:t>“</w:t>
      </w:r>
      <w:r w:rsidRPr="003D1140">
        <w:t>NOTE 1:</w:t>
      </w:r>
      <w:r>
        <w:t xml:space="preserve"> </w:t>
      </w:r>
      <w:r w:rsidRPr="003D1140">
        <w:tab/>
        <w:t>It is assumed that the EDC works on a per-PDU session basis</w:t>
      </w:r>
      <w:r>
        <w:t>”</w:t>
      </w:r>
      <w:r w:rsidR="00DE12CF">
        <w:t>,</w:t>
      </w:r>
    </w:p>
    <w:p w14:paraId="42A2A9D3" w14:textId="0ED39B46" w:rsidR="003D1140" w:rsidRDefault="003D1140" w:rsidP="005E55BB">
      <w:r>
        <w:t>the “</w:t>
      </w:r>
      <w:r w:rsidRPr="003D1140">
        <w:t>detailed criteria</w:t>
      </w:r>
      <w:r>
        <w:t>” should describe how the UE determines for which network interfaces realized by PDU sessions the EDC functionality must be used.</w:t>
      </w:r>
    </w:p>
    <w:p w14:paraId="1DFCD2DC" w14:textId="5EE83E98" w:rsidR="003D1140" w:rsidRPr="003D1140" w:rsidRDefault="003D1140" w:rsidP="005E55BB">
      <w:pPr>
        <w:rPr>
          <w:b/>
          <w:bCs/>
          <w:lang w:val="en-US"/>
        </w:rPr>
      </w:pPr>
      <w:r w:rsidRPr="003D1140">
        <w:rPr>
          <w:b/>
          <w:bCs/>
        </w:rPr>
        <w:t>Observation 2: the “detailed criteria” should describe how the UE determines for which network interfaces realized by PDU sessions the EDC functionality must be used.</w:t>
      </w:r>
    </w:p>
    <w:p w14:paraId="4B3BFBEE" w14:textId="5C5F6DB7" w:rsidR="005E55BB" w:rsidRDefault="003D1140" w:rsidP="005E55BB">
      <w:r>
        <w:t>Based on observation 2, there are</w:t>
      </w:r>
      <w:r w:rsidR="005E55BB">
        <w:t xml:space="preserve"> two alternative options for the criteria for when the EDC functionality is to be used:</w:t>
      </w:r>
    </w:p>
    <w:p w14:paraId="573CA97C" w14:textId="2CAD7D89" w:rsidR="005E55BB" w:rsidRDefault="000C66B8" w:rsidP="005E55BB">
      <w:r w:rsidRPr="000C66B8">
        <w:rPr>
          <w:b/>
          <w:bCs/>
        </w:rPr>
        <w:t xml:space="preserve">Option </w:t>
      </w:r>
      <w:r w:rsidR="005E55BB" w:rsidRPr="000C66B8">
        <w:rPr>
          <w:b/>
          <w:bCs/>
        </w:rPr>
        <w:t>1)</w:t>
      </w:r>
      <w:r w:rsidR="005E55BB">
        <w:t xml:space="preserve"> </w:t>
      </w:r>
      <w:r>
        <w:t xml:space="preserve">The </w:t>
      </w:r>
      <w:r w:rsidR="005E55BB">
        <w:t>EDC functionality is used always for the network interfaces realized by PDU sessions</w:t>
      </w:r>
    </w:p>
    <w:p w14:paraId="4D3ED396" w14:textId="0C9CBAE8" w:rsidR="005E55BB" w:rsidRDefault="000C66B8" w:rsidP="005E55BB">
      <w:r w:rsidRPr="000C66B8">
        <w:rPr>
          <w:b/>
          <w:bCs/>
        </w:rPr>
        <w:lastRenderedPageBreak/>
        <w:t xml:space="preserve">Option </w:t>
      </w:r>
      <w:r w:rsidR="005E55BB" w:rsidRPr="000C66B8">
        <w:rPr>
          <w:b/>
          <w:bCs/>
        </w:rPr>
        <w:t>2)</w:t>
      </w:r>
      <w:r w:rsidR="005E55BB">
        <w:t xml:space="preserve"> </w:t>
      </w:r>
      <w:r>
        <w:t>T</w:t>
      </w:r>
      <w:r w:rsidR="005E55BB">
        <w:t>he EDC functionality is used only for the network interfaces realized by PDU sessions for which</w:t>
      </w:r>
      <w:r>
        <w:t xml:space="preserve"> the 5GC provides an </w:t>
      </w:r>
      <w:r w:rsidR="00B677B3">
        <w:t>(</w:t>
      </w:r>
      <w:r>
        <w:t>EC</w:t>
      </w:r>
      <w:r w:rsidR="00B677B3">
        <w:t>)</w:t>
      </w:r>
      <w:r>
        <w:t xml:space="preserve"> indication on the PDU session</w:t>
      </w:r>
      <w:r w:rsidR="005E55BB">
        <w:t xml:space="preserve">. </w:t>
      </w:r>
    </w:p>
    <w:p w14:paraId="7E47FDA7" w14:textId="1C234BAB" w:rsidR="005E55BB" w:rsidRDefault="000C66B8" w:rsidP="005E55BB">
      <w:r>
        <w:t>For what concern the user preferences:</w:t>
      </w:r>
    </w:p>
    <w:p w14:paraId="2ADAD98B" w14:textId="46BE237E" w:rsidR="005E55BB" w:rsidRDefault="000C66B8" w:rsidP="005E55BB">
      <w:r>
        <w:t xml:space="preserve">- </w:t>
      </w:r>
      <w:r w:rsidR="005E55BB">
        <w:t>In option 1, the user preferences apply only to the network interfaces not related to PDU sessions.</w:t>
      </w:r>
    </w:p>
    <w:p w14:paraId="43ED9E05" w14:textId="558F6CC1" w:rsidR="005E55BB" w:rsidRPr="001776E5" w:rsidRDefault="000C66B8" w:rsidP="005E55BB">
      <w:pPr>
        <w:rPr>
          <w:i/>
          <w:iCs/>
        </w:rPr>
      </w:pPr>
      <w:r>
        <w:t xml:space="preserve">- </w:t>
      </w:r>
      <w:r w:rsidR="005E55BB">
        <w:t>In option 2, the user preferences may apply to the network interfaces related to PDU sessions</w:t>
      </w:r>
      <w:r>
        <w:t xml:space="preserve"> without indication</w:t>
      </w:r>
      <w:r w:rsidR="005E55BB">
        <w:t>, in addition to the network interfaces not related to PDU sessions.</w:t>
      </w:r>
    </w:p>
    <w:p w14:paraId="0A59CF07" w14:textId="47E9A45F" w:rsidR="00FA43C4" w:rsidRDefault="009A6878" w:rsidP="005E55BB">
      <w:r>
        <w:t>Therefore, in option 1 the user preference would be neglected for any PDU session</w:t>
      </w:r>
      <w:r w:rsidR="005A5A05">
        <w:t>, if the UE supports the EDC functionality</w:t>
      </w:r>
      <w:r>
        <w:t xml:space="preserve">. This arrangement may conflict with regulations on Net Neutrality as discussed in Ericsson’s </w:t>
      </w:r>
      <w:r w:rsidRPr="009A6878">
        <w:t>S2-2107245</w:t>
      </w:r>
      <w:r w:rsidR="005A5A05">
        <w:t>:</w:t>
      </w:r>
      <w:r>
        <w:t xml:space="preserve"> forcing the UE to use MNO’s DNS settings may be allowed only for “specialised services”, such </w:t>
      </w:r>
      <w:r w:rsidR="00C06A08">
        <w:t xml:space="preserve">as </w:t>
      </w:r>
      <w:r>
        <w:t>serv</w:t>
      </w:r>
      <w:r w:rsidR="00C06A08">
        <w:t>i</w:t>
      </w:r>
      <w:r>
        <w:t>ces based on 5GC-assisted EC.</w:t>
      </w:r>
    </w:p>
    <w:p w14:paraId="2A12279A" w14:textId="405A8818" w:rsidR="00C06A08" w:rsidRDefault="00C06A08" w:rsidP="005E55BB">
      <w:pPr>
        <w:rPr>
          <w:b/>
          <w:bCs/>
        </w:rPr>
      </w:pPr>
      <w:r w:rsidRPr="00C06A08">
        <w:rPr>
          <w:b/>
          <w:bCs/>
        </w:rPr>
        <w:t>C</w:t>
      </w:r>
      <w:r w:rsidR="009A6878" w:rsidRPr="00C06A08">
        <w:rPr>
          <w:b/>
          <w:bCs/>
        </w:rPr>
        <w:t>onclusion</w:t>
      </w:r>
      <w:r w:rsidRPr="00C06A08">
        <w:rPr>
          <w:b/>
          <w:bCs/>
        </w:rPr>
        <w:t>:</w:t>
      </w:r>
      <w:r w:rsidR="009A6878" w:rsidRPr="00C06A08">
        <w:rPr>
          <w:b/>
          <w:bCs/>
        </w:rPr>
        <w:t xml:space="preserve"> it is proposed to use option 2, in order to allow the MNO to indicate </w:t>
      </w:r>
      <w:r w:rsidRPr="00C06A08">
        <w:rPr>
          <w:b/>
          <w:bCs/>
        </w:rPr>
        <w:t>to</w:t>
      </w:r>
      <w:r w:rsidR="009A6878" w:rsidRPr="00C06A08">
        <w:rPr>
          <w:b/>
          <w:bCs/>
        </w:rPr>
        <w:t xml:space="preserve"> which P</w:t>
      </w:r>
      <w:r w:rsidRPr="00C06A08">
        <w:rPr>
          <w:b/>
          <w:bCs/>
        </w:rPr>
        <w:t>DU sessions the “specialised services” apply.</w:t>
      </w:r>
      <w:r w:rsidR="00257551">
        <w:rPr>
          <w:b/>
          <w:bCs/>
        </w:rPr>
        <w:t xml:space="preserve"> </w:t>
      </w:r>
      <w:r w:rsidR="00EB1A8A">
        <w:rPr>
          <w:b/>
          <w:bCs/>
        </w:rPr>
        <w:t>The criteria to use the EDC are summarized by the following picture</w:t>
      </w:r>
      <w:r w:rsidR="00257551">
        <w:rPr>
          <w:b/>
          <w:bCs/>
        </w:rPr>
        <w:t>.</w:t>
      </w:r>
    </w:p>
    <w:p w14:paraId="3D62AF23" w14:textId="04097FA9" w:rsidR="00257551" w:rsidRPr="00C06A08" w:rsidRDefault="00EC6D6E" w:rsidP="005E55BB">
      <w:pPr>
        <w:rPr>
          <w:b/>
          <w:bCs/>
        </w:rPr>
      </w:pPr>
      <w:r>
        <w:rPr>
          <w:b/>
          <w:bCs/>
        </w:rPr>
        <w:object w:dxaOrig="11772" w:dyaOrig="7080" w14:anchorId="52EE6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88.6pt" o:ole="">
            <v:imagedata r:id="rId11" o:title=""/>
          </v:shape>
          <o:OLEObject Type="Embed" ProgID="Visio.Drawing.15" ShapeID="_x0000_i1025" DrawAspect="Content" ObjectID="_1697890032" r:id="rId12"/>
        </w:object>
      </w:r>
    </w:p>
    <w:p w14:paraId="1443A5CE" w14:textId="72E642A7" w:rsidR="00215AF1" w:rsidRDefault="008508C5" w:rsidP="009D1E1D">
      <w:pPr>
        <w:pStyle w:val="Heading2"/>
      </w:pPr>
      <w:r>
        <w:t>1.2</w:t>
      </w:r>
      <w:r w:rsidR="009D1E1D">
        <w:tab/>
      </w:r>
      <w:r w:rsidRPr="009D1E1D">
        <w:t>Way forward</w:t>
      </w:r>
    </w:p>
    <w:p w14:paraId="3B49F3C3" w14:textId="72722B1D" w:rsidR="003852FC" w:rsidRDefault="003852FC" w:rsidP="003852FC">
      <w:pPr>
        <w:rPr>
          <w:b/>
          <w:bCs/>
        </w:rPr>
      </w:pPr>
      <w:r>
        <w:rPr>
          <w:b/>
          <w:bCs/>
        </w:rPr>
        <w:t>Proposal</w:t>
      </w:r>
      <w:r w:rsidR="007A7A6B">
        <w:rPr>
          <w:b/>
          <w:bCs/>
        </w:rPr>
        <w:t xml:space="preserve"> </w:t>
      </w:r>
      <w:r>
        <w:rPr>
          <w:b/>
          <w:bCs/>
        </w:rPr>
        <w:t>1: The network can send a</w:t>
      </w:r>
      <w:r w:rsidR="00EB1A8A">
        <w:rPr>
          <w:b/>
          <w:bCs/>
        </w:rPr>
        <w:t>n</w:t>
      </w:r>
      <w:r>
        <w:rPr>
          <w:b/>
          <w:bCs/>
        </w:rPr>
        <w:t xml:space="preserve"> indication </w:t>
      </w:r>
      <w:r w:rsidR="00EB1A8A" w:rsidRPr="00EB1A8A">
        <w:rPr>
          <w:b/>
          <w:bCs/>
        </w:rPr>
        <w:t>to the UE that the provided DNS server configuration is required to be used</w:t>
      </w:r>
      <w:r>
        <w:rPr>
          <w:b/>
          <w:bCs/>
        </w:rPr>
        <w:t xml:space="preserve">. </w:t>
      </w:r>
      <w:r w:rsidR="00EB1A8A">
        <w:rPr>
          <w:b/>
          <w:bCs/>
        </w:rPr>
        <w:t>Include a note on regulatory requirements.</w:t>
      </w:r>
    </w:p>
    <w:p w14:paraId="1F19612D" w14:textId="1A2330A3" w:rsidR="003852FC" w:rsidRDefault="003852FC" w:rsidP="003852FC">
      <w:pPr>
        <w:rPr>
          <w:b/>
          <w:bCs/>
        </w:rPr>
      </w:pPr>
      <w:r>
        <w:rPr>
          <w:b/>
          <w:bCs/>
        </w:rPr>
        <w:t>Proposal</w:t>
      </w:r>
      <w:r w:rsidR="007A7A6B">
        <w:rPr>
          <w:b/>
          <w:bCs/>
        </w:rPr>
        <w:t xml:space="preserve"> </w:t>
      </w:r>
      <w:r>
        <w:rPr>
          <w:b/>
          <w:bCs/>
        </w:rPr>
        <w:t xml:space="preserve">2: </w:t>
      </w:r>
      <w:r w:rsidR="00C06A08">
        <w:rPr>
          <w:b/>
          <w:bCs/>
        </w:rPr>
        <w:t>Remove the EN on “detailed criteria” and specify that “</w:t>
      </w:r>
      <w:r w:rsidR="00EB1A8A" w:rsidRPr="00EB1A8A">
        <w:rPr>
          <w:b/>
          <w:bCs/>
        </w:rPr>
        <w:t>The UE uses the EDC functionality only for the network interfaces realized by PDU sessions for which the SMF indicates to the UE that the provided DNS server configuration is required to be used</w:t>
      </w:r>
      <w:r w:rsidR="00C06A08">
        <w:rPr>
          <w:b/>
          <w:bCs/>
        </w:rPr>
        <w:t>”</w:t>
      </w:r>
      <w:r>
        <w:rPr>
          <w:b/>
          <w:bCs/>
        </w:rPr>
        <w:t>.</w:t>
      </w:r>
    </w:p>
    <w:p w14:paraId="4E7B0547" w14:textId="7D9A2493" w:rsidR="003926B7" w:rsidRDefault="003926B7" w:rsidP="003926B7">
      <w:pPr>
        <w:jc w:val="center"/>
        <w:rPr>
          <w:b/>
          <w:bCs/>
        </w:rPr>
      </w:pPr>
    </w:p>
    <w:p w14:paraId="5A44C98E" w14:textId="77777777" w:rsidR="003852FC" w:rsidRDefault="003852FC" w:rsidP="003852FC">
      <w:pPr>
        <w:pStyle w:val="Heading1"/>
      </w:pPr>
      <w:r>
        <w:t>3</w:t>
      </w:r>
      <w:r>
        <w:tab/>
        <w:t>Proposal</w:t>
      </w:r>
    </w:p>
    <w:p w14:paraId="1BF54047" w14:textId="376DD41E" w:rsidR="003852FC" w:rsidRDefault="003852FC" w:rsidP="003852FC">
      <w:r>
        <w:t>Add necessary text to 23.548 as per proposal</w:t>
      </w:r>
      <w:r w:rsidR="007A7A6B">
        <w:t xml:space="preserve"> </w:t>
      </w:r>
      <w:r>
        <w:t>1 and proposal</w:t>
      </w:r>
      <w:r w:rsidR="007A7A6B">
        <w:t xml:space="preserve"> </w:t>
      </w:r>
      <w:r>
        <w:t xml:space="preserve">2. </w:t>
      </w:r>
    </w:p>
    <w:p w14:paraId="2AAFA8A7" w14:textId="272046F9" w:rsidR="003852FC" w:rsidRDefault="003852FC" w:rsidP="003852FC">
      <w:r>
        <w:t>The above proposal</w:t>
      </w:r>
      <w:r w:rsidR="00937A54">
        <w:t xml:space="preserve"> </w:t>
      </w:r>
      <w:r>
        <w:t>1</w:t>
      </w:r>
      <w:r w:rsidR="00D50B63">
        <w:t xml:space="preserve"> (</w:t>
      </w:r>
      <w:r w:rsidR="00C44ED5" w:rsidRPr="00C44ED5">
        <w:t>which</w:t>
      </w:r>
      <w:r w:rsidR="00D50B63" w:rsidRPr="00C44ED5">
        <w:t xml:space="preserve"> can be implemented in similar as S2</w:t>
      </w:r>
      <w:r w:rsidR="009A0A95" w:rsidRPr="00C44ED5">
        <w:t>-2107246</w:t>
      </w:r>
      <w:r w:rsidR="00D50B63">
        <w:t>)</w:t>
      </w:r>
      <w:r>
        <w:t xml:space="preserve"> and proposal</w:t>
      </w:r>
      <w:r w:rsidR="00937A54">
        <w:t xml:space="preserve"> </w:t>
      </w:r>
      <w:r>
        <w:t xml:space="preserve">2 </w:t>
      </w:r>
      <w:r w:rsidR="009A0A95">
        <w:t xml:space="preserve">(resolving the EN) </w:t>
      </w:r>
      <w:r w:rsidR="00C44ED5">
        <w:t>are</w:t>
      </w:r>
      <w:r>
        <w:t xml:space="preserve"> captured in </w:t>
      </w:r>
      <w:r w:rsidR="00C44ED5" w:rsidRPr="00C44ED5">
        <w:t>S2-2108865</w:t>
      </w:r>
      <w:r w:rsidR="009A0A95">
        <w:t>.</w:t>
      </w:r>
    </w:p>
    <w:p w14:paraId="336AE2E1" w14:textId="215EBAA6" w:rsidR="00095845" w:rsidRPr="00D527A2" w:rsidRDefault="00095845" w:rsidP="003852FC"/>
    <w:sectPr w:rsidR="00095845" w:rsidRPr="00D527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C64431" w14:textId="77777777" w:rsidR="00A231C1" w:rsidRDefault="00A231C1">
      <w:r>
        <w:separator/>
      </w:r>
    </w:p>
  </w:endnote>
  <w:endnote w:type="continuationSeparator" w:id="0">
    <w:p w14:paraId="795070E3" w14:textId="77777777" w:rsidR="00A231C1" w:rsidRDefault="00A231C1">
      <w:r>
        <w:continuationSeparator/>
      </w:r>
    </w:p>
  </w:endnote>
  <w:endnote w:type="continuationNotice" w:id="1">
    <w:p w14:paraId="29574E1C" w14:textId="77777777" w:rsidR="00A231C1" w:rsidRDefault="00A23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D6D24" w14:textId="77777777" w:rsidR="00A231C1" w:rsidRDefault="00A231C1">
      <w:r>
        <w:separator/>
      </w:r>
    </w:p>
  </w:footnote>
  <w:footnote w:type="continuationSeparator" w:id="0">
    <w:p w14:paraId="2F08AAD3" w14:textId="77777777" w:rsidR="00A231C1" w:rsidRDefault="00A231C1">
      <w:r>
        <w:continuationSeparator/>
      </w:r>
    </w:p>
  </w:footnote>
  <w:footnote w:type="continuationNotice" w:id="1">
    <w:p w14:paraId="3DA322BB" w14:textId="77777777" w:rsidR="00A231C1" w:rsidRDefault="00A231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BB3EFC"/>
    <w:multiLevelType w:val="hybridMultilevel"/>
    <w:tmpl w:val="96BA0626"/>
    <w:lvl w:ilvl="0" w:tplc="FACC287C">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349C76C9"/>
    <w:multiLevelType w:val="hybridMultilevel"/>
    <w:tmpl w:val="778800F6"/>
    <w:lvl w:ilvl="0" w:tplc="FACC287C">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B72489"/>
    <w:multiLevelType w:val="hybridMultilevel"/>
    <w:tmpl w:val="90EAE00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3D95"/>
    <w:rsid w:val="00007C08"/>
    <w:rsid w:val="00011DD8"/>
    <w:rsid w:val="00013C4C"/>
    <w:rsid w:val="00022E4A"/>
    <w:rsid w:val="0003166B"/>
    <w:rsid w:val="0004208B"/>
    <w:rsid w:val="00047022"/>
    <w:rsid w:val="00050161"/>
    <w:rsid w:val="000513EE"/>
    <w:rsid w:val="00051DA1"/>
    <w:rsid w:val="00056460"/>
    <w:rsid w:val="000618D5"/>
    <w:rsid w:val="00064D77"/>
    <w:rsid w:val="0006695E"/>
    <w:rsid w:val="00066A08"/>
    <w:rsid w:val="00082477"/>
    <w:rsid w:val="000868E1"/>
    <w:rsid w:val="00091494"/>
    <w:rsid w:val="00095845"/>
    <w:rsid w:val="000A6394"/>
    <w:rsid w:val="000A7A75"/>
    <w:rsid w:val="000B23A9"/>
    <w:rsid w:val="000B4D84"/>
    <w:rsid w:val="000B572E"/>
    <w:rsid w:val="000B7FED"/>
    <w:rsid w:val="000C038A"/>
    <w:rsid w:val="000C5B1A"/>
    <w:rsid w:val="000C6598"/>
    <w:rsid w:val="000C66B8"/>
    <w:rsid w:val="000D2CA8"/>
    <w:rsid w:val="000D410D"/>
    <w:rsid w:val="000D44B3"/>
    <w:rsid w:val="000D5DC3"/>
    <w:rsid w:val="000D6585"/>
    <w:rsid w:val="000D6F55"/>
    <w:rsid w:val="000E5C00"/>
    <w:rsid w:val="0011076A"/>
    <w:rsid w:val="00115307"/>
    <w:rsid w:val="00116519"/>
    <w:rsid w:val="00117ABB"/>
    <w:rsid w:val="001224A8"/>
    <w:rsid w:val="001307FB"/>
    <w:rsid w:val="00130C19"/>
    <w:rsid w:val="0013314A"/>
    <w:rsid w:val="00145D43"/>
    <w:rsid w:val="00145DBC"/>
    <w:rsid w:val="001500FE"/>
    <w:rsid w:val="00155FC3"/>
    <w:rsid w:val="0015760F"/>
    <w:rsid w:val="00157CD3"/>
    <w:rsid w:val="00160FD4"/>
    <w:rsid w:val="00161CDC"/>
    <w:rsid w:val="00163AB9"/>
    <w:rsid w:val="001645A5"/>
    <w:rsid w:val="001776E5"/>
    <w:rsid w:val="00177778"/>
    <w:rsid w:val="001815D9"/>
    <w:rsid w:val="00191B3E"/>
    <w:rsid w:val="001923D1"/>
    <w:rsid w:val="00192C46"/>
    <w:rsid w:val="001932B5"/>
    <w:rsid w:val="001979F9"/>
    <w:rsid w:val="001A08B3"/>
    <w:rsid w:val="001A420A"/>
    <w:rsid w:val="001A4D97"/>
    <w:rsid w:val="001A7B60"/>
    <w:rsid w:val="001A7D10"/>
    <w:rsid w:val="001B52F0"/>
    <w:rsid w:val="001B6D97"/>
    <w:rsid w:val="001B7A65"/>
    <w:rsid w:val="001C3BC9"/>
    <w:rsid w:val="001C5556"/>
    <w:rsid w:val="001C6FE5"/>
    <w:rsid w:val="001D0A04"/>
    <w:rsid w:val="001D3B09"/>
    <w:rsid w:val="001D7EAD"/>
    <w:rsid w:val="001E41F3"/>
    <w:rsid w:val="001E4301"/>
    <w:rsid w:val="001E4D2E"/>
    <w:rsid w:val="001E7D7E"/>
    <w:rsid w:val="001F667B"/>
    <w:rsid w:val="00200082"/>
    <w:rsid w:val="00211A8C"/>
    <w:rsid w:val="00215AF1"/>
    <w:rsid w:val="00220EB4"/>
    <w:rsid w:val="0024025A"/>
    <w:rsid w:val="002553B0"/>
    <w:rsid w:val="00257551"/>
    <w:rsid w:val="0026004D"/>
    <w:rsid w:val="002636FD"/>
    <w:rsid w:val="002640DD"/>
    <w:rsid w:val="00264255"/>
    <w:rsid w:val="00265532"/>
    <w:rsid w:val="00267AF2"/>
    <w:rsid w:val="0027169B"/>
    <w:rsid w:val="00274A88"/>
    <w:rsid w:val="00275D12"/>
    <w:rsid w:val="00281DC6"/>
    <w:rsid w:val="00284FEB"/>
    <w:rsid w:val="002855D6"/>
    <w:rsid w:val="002860C4"/>
    <w:rsid w:val="00286660"/>
    <w:rsid w:val="00287686"/>
    <w:rsid w:val="00291C3C"/>
    <w:rsid w:val="00292FA6"/>
    <w:rsid w:val="002B50EB"/>
    <w:rsid w:val="002B5741"/>
    <w:rsid w:val="002C0526"/>
    <w:rsid w:val="002C0B0C"/>
    <w:rsid w:val="002C7864"/>
    <w:rsid w:val="002D115A"/>
    <w:rsid w:val="002D5874"/>
    <w:rsid w:val="002E1BA9"/>
    <w:rsid w:val="002E472E"/>
    <w:rsid w:val="002E5EF1"/>
    <w:rsid w:val="002F1BED"/>
    <w:rsid w:val="00305409"/>
    <w:rsid w:val="00311A1B"/>
    <w:rsid w:val="00313D62"/>
    <w:rsid w:val="00314329"/>
    <w:rsid w:val="003256F5"/>
    <w:rsid w:val="003310A9"/>
    <w:rsid w:val="0034546C"/>
    <w:rsid w:val="00347F60"/>
    <w:rsid w:val="003548AB"/>
    <w:rsid w:val="0035723F"/>
    <w:rsid w:val="003609EF"/>
    <w:rsid w:val="0036231A"/>
    <w:rsid w:val="00362D9A"/>
    <w:rsid w:val="003647BE"/>
    <w:rsid w:val="00373BAF"/>
    <w:rsid w:val="003749E2"/>
    <w:rsid w:val="00374DD4"/>
    <w:rsid w:val="003852FC"/>
    <w:rsid w:val="003926B7"/>
    <w:rsid w:val="003A016C"/>
    <w:rsid w:val="003A3CFE"/>
    <w:rsid w:val="003B0832"/>
    <w:rsid w:val="003B32CE"/>
    <w:rsid w:val="003C457D"/>
    <w:rsid w:val="003C75F9"/>
    <w:rsid w:val="003D0B0A"/>
    <w:rsid w:val="003D1140"/>
    <w:rsid w:val="003D180A"/>
    <w:rsid w:val="003D52BE"/>
    <w:rsid w:val="003E1A36"/>
    <w:rsid w:val="003E3520"/>
    <w:rsid w:val="003E3CC8"/>
    <w:rsid w:val="003E424A"/>
    <w:rsid w:val="003E540B"/>
    <w:rsid w:val="003F03A8"/>
    <w:rsid w:val="00403207"/>
    <w:rsid w:val="00406ECD"/>
    <w:rsid w:val="00410371"/>
    <w:rsid w:val="00411551"/>
    <w:rsid w:val="004168B0"/>
    <w:rsid w:val="00420E9B"/>
    <w:rsid w:val="004227D8"/>
    <w:rsid w:val="004242F1"/>
    <w:rsid w:val="00426055"/>
    <w:rsid w:val="00434BFE"/>
    <w:rsid w:val="00437A7E"/>
    <w:rsid w:val="004407E1"/>
    <w:rsid w:val="004647F9"/>
    <w:rsid w:val="00465B26"/>
    <w:rsid w:val="004663BD"/>
    <w:rsid w:val="00471102"/>
    <w:rsid w:val="004762C5"/>
    <w:rsid w:val="00485741"/>
    <w:rsid w:val="004874E4"/>
    <w:rsid w:val="004A2824"/>
    <w:rsid w:val="004A55DA"/>
    <w:rsid w:val="004B0402"/>
    <w:rsid w:val="004B593F"/>
    <w:rsid w:val="004B6182"/>
    <w:rsid w:val="004B75B7"/>
    <w:rsid w:val="004C6968"/>
    <w:rsid w:val="004D0054"/>
    <w:rsid w:val="004D6FA7"/>
    <w:rsid w:val="004F0139"/>
    <w:rsid w:val="004F07B9"/>
    <w:rsid w:val="004F2F0A"/>
    <w:rsid w:val="004F3610"/>
    <w:rsid w:val="005067AB"/>
    <w:rsid w:val="00511692"/>
    <w:rsid w:val="00514D40"/>
    <w:rsid w:val="0051580D"/>
    <w:rsid w:val="00516D9C"/>
    <w:rsid w:val="00517E8C"/>
    <w:rsid w:val="00522D19"/>
    <w:rsid w:val="00523D96"/>
    <w:rsid w:val="00527D02"/>
    <w:rsid w:val="00537E6F"/>
    <w:rsid w:val="00540E0A"/>
    <w:rsid w:val="00545214"/>
    <w:rsid w:val="00547111"/>
    <w:rsid w:val="00552E34"/>
    <w:rsid w:val="005573B5"/>
    <w:rsid w:val="00561FB0"/>
    <w:rsid w:val="00561FBE"/>
    <w:rsid w:val="00562E15"/>
    <w:rsid w:val="005647BB"/>
    <w:rsid w:val="00566595"/>
    <w:rsid w:val="00567D61"/>
    <w:rsid w:val="00576136"/>
    <w:rsid w:val="00577E92"/>
    <w:rsid w:val="005823B7"/>
    <w:rsid w:val="00583EF2"/>
    <w:rsid w:val="00587EC5"/>
    <w:rsid w:val="00592D74"/>
    <w:rsid w:val="0059422F"/>
    <w:rsid w:val="00594C08"/>
    <w:rsid w:val="0059609B"/>
    <w:rsid w:val="005A4FAE"/>
    <w:rsid w:val="005A5A05"/>
    <w:rsid w:val="005A746E"/>
    <w:rsid w:val="005B5531"/>
    <w:rsid w:val="005C029D"/>
    <w:rsid w:val="005C7078"/>
    <w:rsid w:val="005D1F2B"/>
    <w:rsid w:val="005E2C44"/>
    <w:rsid w:val="005E55BB"/>
    <w:rsid w:val="005F322D"/>
    <w:rsid w:val="00600926"/>
    <w:rsid w:val="00616D0E"/>
    <w:rsid w:val="0062114E"/>
    <w:rsid w:val="00621188"/>
    <w:rsid w:val="00624F24"/>
    <w:rsid w:val="006250D0"/>
    <w:rsid w:val="006257ED"/>
    <w:rsid w:val="006330D0"/>
    <w:rsid w:val="006529AF"/>
    <w:rsid w:val="00660849"/>
    <w:rsid w:val="006622A5"/>
    <w:rsid w:val="00665C47"/>
    <w:rsid w:val="00665E8F"/>
    <w:rsid w:val="006671E3"/>
    <w:rsid w:val="00667852"/>
    <w:rsid w:val="006678AE"/>
    <w:rsid w:val="006710D8"/>
    <w:rsid w:val="00671E0C"/>
    <w:rsid w:val="00683067"/>
    <w:rsid w:val="0068400F"/>
    <w:rsid w:val="00692046"/>
    <w:rsid w:val="00692D83"/>
    <w:rsid w:val="00695808"/>
    <w:rsid w:val="006A203C"/>
    <w:rsid w:val="006B2359"/>
    <w:rsid w:val="006B46FB"/>
    <w:rsid w:val="006B5155"/>
    <w:rsid w:val="006B69EA"/>
    <w:rsid w:val="006B7D57"/>
    <w:rsid w:val="006C2B6B"/>
    <w:rsid w:val="006C6B2F"/>
    <w:rsid w:val="006E0C1D"/>
    <w:rsid w:val="006E21FB"/>
    <w:rsid w:val="006F0B08"/>
    <w:rsid w:val="006F342D"/>
    <w:rsid w:val="006F6E6B"/>
    <w:rsid w:val="00707A84"/>
    <w:rsid w:val="007176FF"/>
    <w:rsid w:val="007206A5"/>
    <w:rsid w:val="00724ABD"/>
    <w:rsid w:val="00725338"/>
    <w:rsid w:val="00726BF8"/>
    <w:rsid w:val="007340D5"/>
    <w:rsid w:val="007424E9"/>
    <w:rsid w:val="0074531E"/>
    <w:rsid w:val="00747CFD"/>
    <w:rsid w:val="00764DBA"/>
    <w:rsid w:val="00766CB0"/>
    <w:rsid w:val="007720A8"/>
    <w:rsid w:val="00775786"/>
    <w:rsid w:val="007769BC"/>
    <w:rsid w:val="00780E67"/>
    <w:rsid w:val="00785AA3"/>
    <w:rsid w:val="00786EDA"/>
    <w:rsid w:val="00792342"/>
    <w:rsid w:val="00793397"/>
    <w:rsid w:val="007977A8"/>
    <w:rsid w:val="00797D17"/>
    <w:rsid w:val="007A348A"/>
    <w:rsid w:val="007A671B"/>
    <w:rsid w:val="007A6A76"/>
    <w:rsid w:val="007A7A6B"/>
    <w:rsid w:val="007B3A21"/>
    <w:rsid w:val="007B422D"/>
    <w:rsid w:val="007B4AC5"/>
    <w:rsid w:val="007B512A"/>
    <w:rsid w:val="007B6007"/>
    <w:rsid w:val="007B6F9B"/>
    <w:rsid w:val="007C2097"/>
    <w:rsid w:val="007C3814"/>
    <w:rsid w:val="007C3A04"/>
    <w:rsid w:val="007C5F54"/>
    <w:rsid w:val="007D1299"/>
    <w:rsid w:val="007D4D47"/>
    <w:rsid w:val="007D6A07"/>
    <w:rsid w:val="007E2C27"/>
    <w:rsid w:val="007F1B76"/>
    <w:rsid w:val="007F6C5A"/>
    <w:rsid w:val="007F7259"/>
    <w:rsid w:val="008040A8"/>
    <w:rsid w:val="00805801"/>
    <w:rsid w:val="00806B2B"/>
    <w:rsid w:val="008075D7"/>
    <w:rsid w:val="008100C9"/>
    <w:rsid w:val="00810E63"/>
    <w:rsid w:val="0081260E"/>
    <w:rsid w:val="0081266A"/>
    <w:rsid w:val="00821FE2"/>
    <w:rsid w:val="008241AA"/>
    <w:rsid w:val="00825072"/>
    <w:rsid w:val="0082518D"/>
    <w:rsid w:val="00825B16"/>
    <w:rsid w:val="0082607D"/>
    <w:rsid w:val="008279FA"/>
    <w:rsid w:val="00831041"/>
    <w:rsid w:val="00832ED4"/>
    <w:rsid w:val="00840F3C"/>
    <w:rsid w:val="00841AAD"/>
    <w:rsid w:val="00843472"/>
    <w:rsid w:val="00843989"/>
    <w:rsid w:val="00847CB0"/>
    <w:rsid w:val="008508C5"/>
    <w:rsid w:val="00852000"/>
    <w:rsid w:val="00852F55"/>
    <w:rsid w:val="008618CE"/>
    <w:rsid w:val="008626E7"/>
    <w:rsid w:val="00867281"/>
    <w:rsid w:val="00870EE7"/>
    <w:rsid w:val="0087509C"/>
    <w:rsid w:val="00883070"/>
    <w:rsid w:val="0088585E"/>
    <w:rsid w:val="008863B9"/>
    <w:rsid w:val="00886427"/>
    <w:rsid w:val="008879E9"/>
    <w:rsid w:val="008915B9"/>
    <w:rsid w:val="00895F34"/>
    <w:rsid w:val="008A0E2C"/>
    <w:rsid w:val="008A45A6"/>
    <w:rsid w:val="008A4650"/>
    <w:rsid w:val="008C0666"/>
    <w:rsid w:val="008D7481"/>
    <w:rsid w:val="008E0BE5"/>
    <w:rsid w:val="008E4E5C"/>
    <w:rsid w:val="008E667E"/>
    <w:rsid w:val="008F13DF"/>
    <w:rsid w:val="008F3789"/>
    <w:rsid w:val="008F3F2D"/>
    <w:rsid w:val="008F686C"/>
    <w:rsid w:val="009148DE"/>
    <w:rsid w:val="00915537"/>
    <w:rsid w:val="00931465"/>
    <w:rsid w:val="00937118"/>
    <w:rsid w:val="0093721C"/>
    <w:rsid w:val="00937A54"/>
    <w:rsid w:val="00941A04"/>
    <w:rsid w:val="00941E30"/>
    <w:rsid w:val="009500F8"/>
    <w:rsid w:val="00960359"/>
    <w:rsid w:val="009632C2"/>
    <w:rsid w:val="009674EC"/>
    <w:rsid w:val="009713F4"/>
    <w:rsid w:val="009777D9"/>
    <w:rsid w:val="00977DD8"/>
    <w:rsid w:val="009826DB"/>
    <w:rsid w:val="009832EE"/>
    <w:rsid w:val="009848BF"/>
    <w:rsid w:val="00984E87"/>
    <w:rsid w:val="00991B88"/>
    <w:rsid w:val="00991D8E"/>
    <w:rsid w:val="00992D2F"/>
    <w:rsid w:val="009932EF"/>
    <w:rsid w:val="009A0A95"/>
    <w:rsid w:val="009A15EA"/>
    <w:rsid w:val="009A5455"/>
    <w:rsid w:val="009A5753"/>
    <w:rsid w:val="009A579D"/>
    <w:rsid w:val="009A66A4"/>
    <w:rsid w:val="009A6878"/>
    <w:rsid w:val="009A691C"/>
    <w:rsid w:val="009C17DC"/>
    <w:rsid w:val="009C65E7"/>
    <w:rsid w:val="009D1E1D"/>
    <w:rsid w:val="009D2A18"/>
    <w:rsid w:val="009D3E36"/>
    <w:rsid w:val="009D43F7"/>
    <w:rsid w:val="009E3297"/>
    <w:rsid w:val="009E7942"/>
    <w:rsid w:val="009F1318"/>
    <w:rsid w:val="009F734F"/>
    <w:rsid w:val="00A02D1B"/>
    <w:rsid w:val="00A0364F"/>
    <w:rsid w:val="00A0654D"/>
    <w:rsid w:val="00A1448B"/>
    <w:rsid w:val="00A22A17"/>
    <w:rsid w:val="00A231C1"/>
    <w:rsid w:val="00A23591"/>
    <w:rsid w:val="00A241F6"/>
    <w:rsid w:val="00A246B6"/>
    <w:rsid w:val="00A24A8F"/>
    <w:rsid w:val="00A26606"/>
    <w:rsid w:val="00A32115"/>
    <w:rsid w:val="00A345B2"/>
    <w:rsid w:val="00A34E83"/>
    <w:rsid w:val="00A42906"/>
    <w:rsid w:val="00A4296B"/>
    <w:rsid w:val="00A44609"/>
    <w:rsid w:val="00A47E70"/>
    <w:rsid w:val="00A50CF0"/>
    <w:rsid w:val="00A55A8F"/>
    <w:rsid w:val="00A7336E"/>
    <w:rsid w:val="00A74786"/>
    <w:rsid w:val="00A7671C"/>
    <w:rsid w:val="00A776DC"/>
    <w:rsid w:val="00A84E43"/>
    <w:rsid w:val="00A92530"/>
    <w:rsid w:val="00A956D0"/>
    <w:rsid w:val="00AA23D7"/>
    <w:rsid w:val="00AA2CBC"/>
    <w:rsid w:val="00AA616F"/>
    <w:rsid w:val="00AB2E72"/>
    <w:rsid w:val="00AC352C"/>
    <w:rsid w:val="00AC5820"/>
    <w:rsid w:val="00AC665F"/>
    <w:rsid w:val="00AD1CD8"/>
    <w:rsid w:val="00AE0D92"/>
    <w:rsid w:val="00AE2B07"/>
    <w:rsid w:val="00AE327A"/>
    <w:rsid w:val="00AF69DF"/>
    <w:rsid w:val="00AF6B61"/>
    <w:rsid w:val="00B04B65"/>
    <w:rsid w:val="00B04EA8"/>
    <w:rsid w:val="00B10D8C"/>
    <w:rsid w:val="00B20505"/>
    <w:rsid w:val="00B23465"/>
    <w:rsid w:val="00B258BB"/>
    <w:rsid w:val="00B41A91"/>
    <w:rsid w:val="00B45359"/>
    <w:rsid w:val="00B45750"/>
    <w:rsid w:val="00B4615A"/>
    <w:rsid w:val="00B530F0"/>
    <w:rsid w:val="00B54E8B"/>
    <w:rsid w:val="00B677B3"/>
    <w:rsid w:val="00B67B97"/>
    <w:rsid w:val="00B71E9F"/>
    <w:rsid w:val="00B724CC"/>
    <w:rsid w:val="00B740B9"/>
    <w:rsid w:val="00B7602B"/>
    <w:rsid w:val="00B83F9E"/>
    <w:rsid w:val="00B877AF"/>
    <w:rsid w:val="00B968C8"/>
    <w:rsid w:val="00B97C73"/>
    <w:rsid w:val="00B97E4B"/>
    <w:rsid w:val="00BA174E"/>
    <w:rsid w:val="00BA3D7A"/>
    <w:rsid w:val="00BA3EC5"/>
    <w:rsid w:val="00BA51D9"/>
    <w:rsid w:val="00BA7BB9"/>
    <w:rsid w:val="00BB0A3C"/>
    <w:rsid w:val="00BB1065"/>
    <w:rsid w:val="00BB14E3"/>
    <w:rsid w:val="00BB1BBA"/>
    <w:rsid w:val="00BB3C78"/>
    <w:rsid w:val="00BB515A"/>
    <w:rsid w:val="00BB5DFC"/>
    <w:rsid w:val="00BB76CA"/>
    <w:rsid w:val="00BC3291"/>
    <w:rsid w:val="00BC44DC"/>
    <w:rsid w:val="00BD1F11"/>
    <w:rsid w:val="00BD279D"/>
    <w:rsid w:val="00BD6BB8"/>
    <w:rsid w:val="00BD76B3"/>
    <w:rsid w:val="00BE5936"/>
    <w:rsid w:val="00BE61A3"/>
    <w:rsid w:val="00BE64FB"/>
    <w:rsid w:val="00BF2B47"/>
    <w:rsid w:val="00BF6159"/>
    <w:rsid w:val="00C033D2"/>
    <w:rsid w:val="00C0413D"/>
    <w:rsid w:val="00C06A08"/>
    <w:rsid w:val="00C141EA"/>
    <w:rsid w:val="00C15BFA"/>
    <w:rsid w:val="00C361BF"/>
    <w:rsid w:val="00C40A5E"/>
    <w:rsid w:val="00C44ED5"/>
    <w:rsid w:val="00C50365"/>
    <w:rsid w:val="00C50BEF"/>
    <w:rsid w:val="00C607B2"/>
    <w:rsid w:val="00C6216A"/>
    <w:rsid w:val="00C66BA2"/>
    <w:rsid w:val="00C66E66"/>
    <w:rsid w:val="00C83221"/>
    <w:rsid w:val="00C84F5E"/>
    <w:rsid w:val="00C918B1"/>
    <w:rsid w:val="00C95985"/>
    <w:rsid w:val="00C9626F"/>
    <w:rsid w:val="00CA43F9"/>
    <w:rsid w:val="00CB0755"/>
    <w:rsid w:val="00CB3475"/>
    <w:rsid w:val="00CB5F33"/>
    <w:rsid w:val="00CB618C"/>
    <w:rsid w:val="00CB723B"/>
    <w:rsid w:val="00CC0C60"/>
    <w:rsid w:val="00CC32E7"/>
    <w:rsid w:val="00CC5026"/>
    <w:rsid w:val="00CC68D0"/>
    <w:rsid w:val="00CD3D86"/>
    <w:rsid w:val="00CD3F2F"/>
    <w:rsid w:val="00CD5D8C"/>
    <w:rsid w:val="00CD7E6A"/>
    <w:rsid w:val="00CE514E"/>
    <w:rsid w:val="00CE61D9"/>
    <w:rsid w:val="00CF052B"/>
    <w:rsid w:val="00CF0BB3"/>
    <w:rsid w:val="00CF19FD"/>
    <w:rsid w:val="00CF28E0"/>
    <w:rsid w:val="00CF5F27"/>
    <w:rsid w:val="00D009A2"/>
    <w:rsid w:val="00D00D49"/>
    <w:rsid w:val="00D03F9A"/>
    <w:rsid w:val="00D0442C"/>
    <w:rsid w:val="00D06D51"/>
    <w:rsid w:val="00D22A23"/>
    <w:rsid w:val="00D24991"/>
    <w:rsid w:val="00D27DE6"/>
    <w:rsid w:val="00D41463"/>
    <w:rsid w:val="00D450C0"/>
    <w:rsid w:val="00D45F9B"/>
    <w:rsid w:val="00D50255"/>
    <w:rsid w:val="00D50B63"/>
    <w:rsid w:val="00D51B0E"/>
    <w:rsid w:val="00D527A2"/>
    <w:rsid w:val="00D537D5"/>
    <w:rsid w:val="00D63CE4"/>
    <w:rsid w:val="00D64D9E"/>
    <w:rsid w:val="00D66356"/>
    <w:rsid w:val="00D66520"/>
    <w:rsid w:val="00D66EC9"/>
    <w:rsid w:val="00D75B60"/>
    <w:rsid w:val="00D7616D"/>
    <w:rsid w:val="00D822BA"/>
    <w:rsid w:val="00D82454"/>
    <w:rsid w:val="00D82B46"/>
    <w:rsid w:val="00D91043"/>
    <w:rsid w:val="00D9495B"/>
    <w:rsid w:val="00D94FB9"/>
    <w:rsid w:val="00DA3C84"/>
    <w:rsid w:val="00DA6F9C"/>
    <w:rsid w:val="00DB002C"/>
    <w:rsid w:val="00DB4CFB"/>
    <w:rsid w:val="00DC5436"/>
    <w:rsid w:val="00DC60D0"/>
    <w:rsid w:val="00DD2498"/>
    <w:rsid w:val="00DD5029"/>
    <w:rsid w:val="00DE12CF"/>
    <w:rsid w:val="00DE1892"/>
    <w:rsid w:val="00DE34CF"/>
    <w:rsid w:val="00DE7432"/>
    <w:rsid w:val="00DF0C3F"/>
    <w:rsid w:val="00DF2FD4"/>
    <w:rsid w:val="00DF465E"/>
    <w:rsid w:val="00DF6596"/>
    <w:rsid w:val="00DF6CC2"/>
    <w:rsid w:val="00E06FB6"/>
    <w:rsid w:val="00E073E5"/>
    <w:rsid w:val="00E12844"/>
    <w:rsid w:val="00E13F3D"/>
    <w:rsid w:val="00E22F0B"/>
    <w:rsid w:val="00E22F19"/>
    <w:rsid w:val="00E23DC1"/>
    <w:rsid w:val="00E247A6"/>
    <w:rsid w:val="00E26855"/>
    <w:rsid w:val="00E34898"/>
    <w:rsid w:val="00E41D25"/>
    <w:rsid w:val="00E4794F"/>
    <w:rsid w:val="00E526FE"/>
    <w:rsid w:val="00E54EE9"/>
    <w:rsid w:val="00E57621"/>
    <w:rsid w:val="00E57C10"/>
    <w:rsid w:val="00E63F66"/>
    <w:rsid w:val="00E6537E"/>
    <w:rsid w:val="00E77B60"/>
    <w:rsid w:val="00E8239D"/>
    <w:rsid w:val="00E82BF0"/>
    <w:rsid w:val="00E84062"/>
    <w:rsid w:val="00EA0D5F"/>
    <w:rsid w:val="00EA226D"/>
    <w:rsid w:val="00EA28B0"/>
    <w:rsid w:val="00EA461F"/>
    <w:rsid w:val="00EA5EED"/>
    <w:rsid w:val="00EA641A"/>
    <w:rsid w:val="00EB09B7"/>
    <w:rsid w:val="00EB1A8A"/>
    <w:rsid w:val="00EC1B80"/>
    <w:rsid w:val="00EC4A33"/>
    <w:rsid w:val="00EC6D6E"/>
    <w:rsid w:val="00ED21ED"/>
    <w:rsid w:val="00ED5B1E"/>
    <w:rsid w:val="00ED65EF"/>
    <w:rsid w:val="00ED797A"/>
    <w:rsid w:val="00EE51D7"/>
    <w:rsid w:val="00EE5CE7"/>
    <w:rsid w:val="00EE6597"/>
    <w:rsid w:val="00EE7D7C"/>
    <w:rsid w:val="00EF3156"/>
    <w:rsid w:val="00EF3E16"/>
    <w:rsid w:val="00EF5A0A"/>
    <w:rsid w:val="00F030B9"/>
    <w:rsid w:val="00F04191"/>
    <w:rsid w:val="00F10422"/>
    <w:rsid w:val="00F14016"/>
    <w:rsid w:val="00F25D98"/>
    <w:rsid w:val="00F26EE3"/>
    <w:rsid w:val="00F300FB"/>
    <w:rsid w:val="00F322D5"/>
    <w:rsid w:val="00F37B01"/>
    <w:rsid w:val="00F4105A"/>
    <w:rsid w:val="00F42107"/>
    <w:rsid w:val="00F43CD7"/>
    <w:rsid w:val="00F47FCF"/>
    <w:rsid w:val="00F56EAD"/>
    <w:rsid w:val="00F614AF"/>
    <w:rsid w:val="00F664FB"/>
    <w:rsid w:val="00F70257"/>
    <w:rsid w:val="00F74992"/>
    <w:rsid w:val="00F83D0B"/>
    <w:rsid w:val="00F85E55"/>
    <w:rsid w:val="00F8637F"/>
    <w:rsid w:val="00F8653D"/>
    <w:rsid w:val="00F928BD"/>
    <w:rsid w:val="00F939B5"/>
    <w:rsid w:val="00F94E3D"/>
    <w:rsid w:val="00F96DDA"/>
    <w:rsid w:val="00FA36E0"/>
    <w:rsid w:val="00FA385E"/>
    <w:rsid w:val="00FA43C4"/>
    <w:rsid w:val="00FB6386"/>
    <w:rsid w:val="00FC6E8E"/>
    <w:rsid w:val="00FC7C72"/>
    <w:rsid w:val="00FD5A06"/>
    <w:rsid w:val="00FD5ACB"/>
    <w:rsid w:val="00FD7E0C"/>
    <w:rsid w:val="00FF2DC1"/>
    <w:rsid w:val="00FF4036"/>
    <w:rsid w:val="00FF4D0E"/>
    <w:rsid w:val="00FF79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22D65D33-1BE5-44BF-8047-F372928C4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 w:type="paragraph" w:styleId="ListParagraph">
    <w:name w:val="List Paragraph"/>
    <w:basedOn w:val="Normal"/>
    <w:uiPriority w:val="34"/>
    <w:qFormat/>
    <w:rsid w:val="00FD7E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36446">
      <w:bodyDiv w:val="1"/>
      <w:marLeft w:val="0"/>
      <w:marRight w:val="0"/>
      <w:marTop w:val="0"/>
      <w:marBottom w:val="0"/>
      <w:divBdr>
        <w:top w:val="none" w:sz="0" w:space="0" w:color="auto"/>
        <w:left w:val="none" w:sz="0" w:space="0" w:color="auto"/>
        <w:bottom w:val="none" w:sz="0" w:space="0" w:color="auto"/>
        <w:right w:val="none" w:sz="0" w:space="0" w:color="auto"/>
      </w:divBdr>
    </w:div>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216625215">
      <w:bodyDiv w:val="1"/>
      <w:marLeft w:val="0"/>
      <w:marRight w:val="0"/>
      <w:marTop w:val="0"/>
      <w:marBottom w:val="0"/>
      <w:divBdr>
        <w:top w:val="none" w:sz="0" w:space="0" w:color="auto"/>
        <w:left w:val="none" w:sz="0" w:space="0" w:color="auto"/>
        <w:bottom w:val="none" w:sz="0" w:space="0" w:color="auto"/>
        <w:right w:val="none" w:sz="0" w:space="0" w:color="auto"/>
      </w:divBdr>
    </w:div>
    <w:div w:id="575212734">
      <w:bodyDiv w:val="1"/>
      <w:marLeft w:val="0"/>
      <w:marRight w:val="0"/>
      <w:marTop w:val="0"/>
      <w:marBottom w:val="0"/>
      <w:divBdr>
        <w:top w:val="none" w:sz="0" w:space="0" w:color="auto"/>
        <w:left w:val="none" w:sz="0" w:space="0" w:color="auto"/>
        <w:bottom w:val="none" w:sz="0" w:space="0" w:color="auto"/>
        <w:right w:val="none" w:sz="0" w:space="0" w:color="auto"/>
      </w:divBdr>
    </w:div>
    <w:div w:id="958684988">
      <w:bodyDiv w:val="1"/>
      <w:marLeft w:val="0"/>
      <w:marRight w:val="0"/>
      <w:marTop w:val="0"/>
      <w:marBottom w:val="0"/>
      <w:divBdr>
        <w:top w:val="none" w:sz="0" w:space="0" w:color="auto"/>
        <w:left w:val="none" w:sz="0" w:space="0" w:color="auto"/>
        <w:bottom w:val="none" w:sz="0" w:space="0" w:color="auto"/>
        <w:right w:val="none" w:sz="0" w:space="0" w:color="auto"/>
      </w:divBdr>
      <w:divsChild>
        <w:div w:id="772015219">
          <w:marLeft w:val="0"/>
          <w:marRight w:val="0"/>
          <w:marTop w:val="0"/>
          <w:marBottom w:val="0"/>
          <w:divBdr>
            <w:top w:val="none" w:sz="0" w:space="0" w:color="auto"/>
            <w:left w:val="none" w:sz="0" w:space="0" w:color="auto"/>
            <w:bottom w:val="none" w:sz="0" w:space="0" w:color="auto"/>
            <w:right w:val="none" w:sz="0" w:space="0" w:color="auto"/>
          </w:divBdr>
        </w:div>
      </w:divsChild>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652513747">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1826968841">
      <w:bodyDiv w:val="1"/>
      <w:marLeft w:val="0"/>
      <w:marRight w:val="0"/>
      <w:marTop w:val="0"/>
      <w:marBottom w:val="0"/>
      <w:divBdr>
        <w:top w:val="none" w:sz="0" w:space="0" w:color="auto"/>
        <w:left w:val="none" w:sz="0" w:space="0" w:color="auto"/>
        <w:bottom w:val="none" w:sz="0" w:space="0" w:color="auto"/>
        <w:right w:val="none" w:sz="0" w:space="0" w:color="auto"/>
      </w:divBdr>
    </w:div>
    <w:div w:id="1834643658">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455DE-5BAE-4FDB-B879-0870FB00C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B528B8C0-F905-4FF3-BEBB-28A57C6C40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5E85C7-5BB8-4685-A60F-B0A5D674F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684</Words>
  <Characters>3649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4325</CharactersWithSpaces>
  <SharedDoc>false</SharedDoc>
  <HLinks>
    <vt:vector size="6" baseType="variant">
      <vt:variant>
        <vt:i4>6750260</vt:i4>
      </vt:variant>
      <vt:variant>
        <vt:i4>6</vt:i4>
      </vt:variant>
      <vt:variant>
        <vt:i4>0</vt:i4>
      </vt:variant>
      <vt:variant>
        <vt:i4>5</vt:i4>
      </vt:variant>
      <vt:variant>
        <vt:lpwstr>https://berec.europa.eu/eng/document_register/subject_matter/berec/regulatory_best_practices/guidelines/6160-berec-guidelines-on-the-implementation-by-national-regulators-of-european-net-neutrality-rules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1900-01-01T17:00:00Z</cp:lastPrinted>
  <dcterms:created xsi:type="dcterms:W3CDTF">2021-11-08T10:52:00Z</dcterms:created>
  <dcterms:modified xsi:type="dcterms:W3CDTF">2021-11-08T14:21:00Z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